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:rsidR="00DC5B88" w:rsidRPr="000413E2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D209A4">
        <w:rPr>
          <w:b/>
          <w:sz w:val="22"/>
          <w:szCs w:val="22"/>
          <w:lang w:val="en-US"/>
        </w:rPr>
        <w:t xml:space="preserve">Cellular </w:t>
      </w:r>
      <w:r w:rsidR="00C04048">
        <w:rPr>
          <w:b/>
          <w:sz w:val="22"/>
          <w:szCs w:val="22"/>
          <w:lang w:val="en-US"/>
        </w:rPr>
        <w:t xml:space="preserve">culture and BT </w:t>
      </w:r>
      <w:r w:rsidR="002F77C3">
        <w:rPr>
          <w:sz w:val="22"/>
          <w:szCs w:val="22"/>
          <w:lang w:val="en"/>
        </w:rPr>
        <w:t xml:space="preserve">engineering </w:t>
      </w:r>
      <w:bookmarkStart w:id="0" w:name="_GoBack"/>
      <w:bookmarkEnd w:id="0"/>
    </w:p>
    <w:p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:rsidR="00E37532" w:rsidRPr="00EC33C2" w:rsidRDefault="00E37532" w:rsidP="00E37532">
      <w:pPr>
        <w:jc w:val="center"/>
        <w:rPr>
          <w:sz w:val="22"/>
          <w:szCs w:val="22"/>
          <w:lang w:val="en-US"/>
        </w:rPr>
      </w:pPr>
      <w:r w:rsidRPr="00EC33C2">
        <w:rPr>
          <w:sz w:val="22"/>
          <w:szCs w:val="22"/>
          <w:lang w:val="en-US"/>
        </w:rPr>
        <w:t xml:space="preserve"> (</w:t>
      </w:r>
      <w:proofErr w:type="gramStart"/>
      <w:r w:rsidR="00DC5B88" w:rsidRPr="00EC33C2">
        <w:rPr>
          <w:sz w:val="22"/>
          <w:szCs w:val="22"/>
          <w:lang w:val="en-US"/>
        </w:rPr>
        <w:t>3</w:t>
      </w:r>
      <w:r w:rsidRPr="00EC33C2">
        <w:rPr>
          <w:sz w:val="22"/>
          <w:szCs w:val="22"/>
          <w:u w:val="single"/>
          <w:lang w:val="en-US"/>
        </w:rPr>
        <w:t xml:space="preserve">  credit</w:t>
      </w:r>
      <w:proofErr w:type="gramEnd"/>
      <w:r w:rsidRPr="00EC33C2">
        <w:rPr>
          <w:sz w:val="22"/>
          <w:szCs w:val="22"/>
          <w:lang w:val="en-US"/>
        </w:rPr>
        <w:t>)</w:t>
      </w:r>
    </w:p>
    <w:p w:rsidR="00775F51" w:rsidRPr="00EC33C2" w:rsidRDefault="00A47571" w:rsidP="00000ADB">
      <w:pPr>
        <w:jc w:val="center"/>
        <w:rPr>
          <w:b/>
          <w:sz w:val="22"/>
          <w:szCs w:val="22"/>
          <w:lang w:val="kk-KZ"/>
        </w:rPr>
      </w:pPr>
      <w:r w:rsidRPr="00EC33C2">
        <w:rPr>
          <w:b/>
          <w:sz w:val="22"/>
          <w:szCs w:val="22"/>
          <w:lang w:val="kk-KZ"/>
        </w:rPr>
        <w:t xml:space="preserve">» </w:t>
      </w:r>
    </w:p>
    <w:p w:rsidR="002B7855" w:rsidRPr="00EC33C2" w:rsidRDefault="00E37532" w:rsidP="002B7855">
      <w:pPr>
        <w:jc w:val="center"/>
        <w:rPr>
          <w:b/>
          <w:bCs/>
          <w:sz w:val="22"/>
          <w:szCs w:val="22"/>
          <w:lang w:val="kk-KZ"/>
        </w:rPr>
      </w:pPr>
      <w:r w:rsidRPr="002F77C3">
        <w:rPr>
          <w:rStyle w:val="hps"/>
          <w:color w:val="222222"/>
          <w:sz w:val="22"/>
          <w:szCs w:val="22"/>
          <w:lang w:val="kk-KZ"/>
        </w:rPr>
        <w:t>Graduate</w:t>
      </w:r>
      <w:r w:rsidRPr="00EC33C2">
        <w:rPr>
          <w:sz w:val="22"/>
          <w:szCs w:val="22"/>
          <w:lang w:val="kk-KZ"/>
        </w:rPr>
        <w:t xml:space="preserve"> </w:t>
      </w:r>
      <w:r w:rsidR="002B7855" w:rsidRPr="00EC33C2">
        <w:rPr>
          <w:sz w:val="22"/>
          <w:szCs w:val="22"/>
          <w:lang w:val="kk-KZ"/>
        </w:rPr>
        <w:t>«</w:t>
      </w:r>
      <w:r w:rsidR="001E5CB8" w:rsidRPr="002F77C3">
        <w:rPr>
          <w:sz w:val="22"/>
          <w:szCs w:val="22"/>
          <w:lang w:val="kk-KZ"/>
        </w:rPr>
        <w:t>BT05105</w:t>
      </w:r>
      <w:r w:rsidR="002B7855" w:rsidRPr="00EC33C2">
        <w:rPr>
          <w:sz w:val="22"/>
          <w:szCs w:val="22"/>
          <w:u w:val="single"/>
          <w:lang w:val="kk-KZ"/>
        </w:rPr>
        <w:t xml:space="preserve"> </w:t>
      </w:r>
      <w:r w:rsidRPr="002F77C3">
        <w:rPr>
          <w:sz w:val="22"/>
          <w:szCs w:val="22"/>
          <w:lang w:val="kk-KZ"/>
        </w:rPr>
        <w:t>biotechnology</w:t>
      </w:r>
      <w:r w:rsidR="002B7855" w:rsidRPr="00EC33C2">
        <w:rPr>
          <w:b/>
          <w:bCs/>
          <w:sz w:val="22"/>
          <w:szCs w:val="22"/>
          <w:lang w:val="kk-KZ"/>
        </w:rPr>
        <w:t xml:space="preserve">» </w:t>
      </w:r>
    </w:p>
    <w:p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 xml:space="preserve">Number in the library of 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KazNU</w:t>
            </w:r>
            <w:proofErr w:type="spellEnd"/>
            <w:r w:rsidRPr="000E3109">
              <w:rPr>
                <w:color w:val="222222"/>
                <w:sz w:val="22"/>
                <w:szCs w:val="22"/>
                <w:lang w:val="en"/>
              </w:rPr>
              <w:t xml:space="preserve"> named after al-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2F77C3" w:rsidP="000E31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"/>
              </w:rPr>
              <w:t>Genetic engineering and biosafety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9" w:rsidRDefault="007F5759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:rsidR="002F77C3" w:rsidRDefault="002F77C3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Plant Biotechnology and Genetics</w:t>
            </w:r>
          </w:p>
          <w:p w:rsidR="002F77C3" w:rsidRDefault="002F77C3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Principles, Techniques and Applications. C. Neal Stewart, Jr.,</w:t>
            </w:r>
            <w:r>
              <w:t xml:space="preserve"> </w:t>
            </w:r>
            <w:r>
              <w:rPr>
                <w:b w:val="0"/>
                <w:sz w:val="22"/>
                <w:szCs w:val="22"/>
              </w:rPr>
              <w:t xml:space="preserve">Second edition. Publ. Willey. 2016. </w:t>
            </w:r>
            <w:proofErr w:type="gramStart"/>
            <w:r>
              <w:rPr>
                <w:b w:val="0"/>
                <w:sz w:val="22"/>
                <w:szCs w:val="22"/>
              </w:rPr>
              <w:t>399  P</w:t>
            </w:r>
            <w:proofErr w:type="gramEnd"/>
            <w:r>
              <w:rPr>
                <w:b w:val="0"/>
                <w:sz w:val="22"/>
                <w:szCs w:val="22"/>
              </w:rPr>
              <w:t>.</w:t>
            </w:r>
          </w:p>
          <w:p w:rsidR="008044ED" w:rsidRPr="000E3109" w:rsidRDefault="008044ED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Lodish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Arnold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Berk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S Lawrence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Zipursky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Paul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Matsudaira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David Baltimore, and James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Darnell.New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 York: </w:t>
            </w:r>
            <w:r w:rsidRPr="00E84777">
              <w:rPr>
                <w:sz w:val="22"/>
                <w:szCs w:val="22"/>
                <w:lang w:val="en"/>
              </w:rPr>
              <w:t>W. H. Freeman</w:t>
            </w:r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:rsidR="00D2695B" w:rsidRPr="000E3109" w:rsidRDefault="008044ED" w:rsidP="000E3109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proofErr w:type="spellStart"/>
            <w:r w:rsidR="00D2695B" w:rsidRPr="000E3109">
              <w:rPr>
                <w:sz w:val="22"/>
                <w:szCs w:val="22"/>
              </w:rPr>
              <w:t>Глик</w:t>
            </w:r>
            <w:proofErr w:type="spellEnd"/>
            <w:r w:rsidR="00D2695B" w:rsidRPr="000E3109">
              <w:rPr>
                <w:sz w:val="22"/>
                <w:szCs w:val="22"/>
              </w:rPr>
              <w:t xml:space="preserve"> Б., Пастернак Дж. Молекулярная биотехнология. М.: Мир, 2002. - 589</w:t>
            </w:r>
            <w:r w:rsidR="00D2695B" w:rsidRPr="000E3109">
              <w:rPr>
                <w:sz w:val="22"/>
                <w:szCs w:val="22"/>
                <w:lang w:val="kk-KZ"/>
              </w:rPr>
              <w:t xml:space="preserve"> </w:t>
            </w:r>
            <w:r w:rsidR="00D2695B" w:rsidRPr="000E3109">
              <w:rPr>
                <w:sz w:val="22"/>
                <w:szCs w:val="22"/>
              </w:rPr>
              <w:t>с.</w:t>
            </w:r>
          </w:p>
          <w:p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proofErr w:type="gramStart"/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>Колос</w:t>
            </w:r>
            <w:proofErr w:type="gramEnd"/>
            <w:r w:rsidRPr="000E3109">
              <w:rPr>
                <w:sz w:val="22"/>
                <w:szCs w:val="22"/>
                <w:lang w:val="kk-KZ"/>
              </w:rPr>
              <w:t xml:space="preserve">, 2006. -  144 с.  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 xml:space="preserve">ls, 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Kaptein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and G.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Folkers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// J.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Struct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Funct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Genomics. — 2006. — V. 7. — P. 109–118.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Purif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— 2009. — V. 63. — P. 58–61.</w:t>
            </w:r>
          </w:p>
          <w:p w:rsidR="00D2695B" w:rsidRPr="00B81324" w:rsidRDefault="00D2695B" w:rsidP="00B8132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</w:t>
            </w:r>
            <w:proofErr w:type="gramStart"/>
            <w:r w:rsidRPr="000E3109">
              <w:rPr>
                <w:color w:val="000000"/>
                <w:spacing w:val="-21"/>
                <w:sz w:val="22"/>
                <w:szCs w:val="22"/>
              </w:rPr>
              <w:lastRenderedPageBreak/>
              <w:t>М.:ТЕХНОСФЕРА</w:t>
            </w:r>
            <w:proofErr w:type="gramEnd"/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,  2005.  -256 с. 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Патрушев Л.И.Экспрессия генов. – М.: Наука, 2000</w:t>
            </w:r>
            <w:r w:rsidRPr="000E3109">
              <w:rPr>
                <w:sz w:val="22"/>
                <w:szCs w:val="22"/>
                <w:lang w:val="kk-KZ"/>
              </w:rPr>
              <w:t>, 749 с.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color w:val="000000"/>
                <w:sz w:val="22"/>
                <w:szCs w:val="22"/>
              </w:rPr>
              <w:t>Ребриков Д.В., Саматов Г.А., Трофимов Д.Ю. и др. ПЦР в реальном времени. М.: БИНОМ. Лаборатория знаний, 2009. 215 с.</w:t>
            </w:r>
          </w:p>
          <w:p w:rsidR="00936AD9" w:rsidRPr="00936AD9" w:rsidRDefault="00936AD9" w:rsidP="00936AD9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936AD9">
              <w:rPr>
                <w:color w:val="000000"/>
                <w:sz w:val="22"/>
                <w:szCs w:val="22"/>
                <w:lang w:val="en-US"/>
              </w:rPr>
              <w:t>Benzle</w:t>
            </w:r>
            <w:proofErr w:type="spellEnd"/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 KA, Finer KR, Marty DM, McHale LK, </w:t>
            </w:r>
            <w:proofErr w:type="spellStart"/>
            <w:r w:rsidRPr="00936AD9">
              <w:rPr>
                <w:color w:val="000000"/>
                <w:sz w:val="22"/>
                <w:szCs w:val="22"/>
                <w:lang w:val="en-US"/>
              </w:rPr>
              <w:t>Goodner</w:t>
            </w:r>
            <w:proofErr w:type="spellEnd"/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 BW, Taylor CG, Finer JJ (2015) Isolation and</w:t>
            </w:r>
          </w:p>
          <w:p w:rsidR="00936AD9" w:rsidRPr="00D209A4" w:rsidRDefault="00936AD9" w:rsidP="00936AD9">
            <w:pPr>
              <w:rPr>
                <w:color w:val="000000"/>
                <w:sz w:val="22"/>
                <w:szCs w:val="22"/>
                <w:lang w:val="en-US"/>
              </w:rPr>
            </w:pPr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characterization of novel Agrobacterium strains for soybean and sunflower transformation. 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Plant Cell </w:t>
            </w:r>
            <w:proofErr w:type="spellStart"/>
            <w:r w:rsidRPr="00D209A4">
              <w:rPr>
                <w:color w:val="000000"/>
                <w:sz w:val="22"/>
                <w:szCs w:val="22"/>
                <w:lang w:val="en-US"/>
              </w:rPr>
              <w:t>Tiss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>Org Cult 121:</w:t>
            </w:r>
            <w:r>
              <w:rPr>
                <w:color w:val="000000"/>
                <w:sz w:val="22"/>
                <w:szCs w:val="22"/>
                <w:lang w:val="en-US"/>
              </w:rPr>
              <w:t>71-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>81.</w:t>
            </w:r>
          </w:p>
          <w:p w:rsidR="007F5759" w:rsidRPr="00D209A4" w:rsidRDefault="007F5759" w:rsidP="00936AD9">
            <w:pPr>
              <w:rPr>
                <w:color w:val="000000"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Дополнительная</w:t>
            </w:r>
            <w:r w:rsidRPr="00D209A4">
              <w:rPr>
                <w:b/>
                <w:sz w:val="22"/>
                <w:szCs w:val="22"/>
                <w:lang w:val="en-US"/>
              </w:rPr>
              <w:t>:</w:t>
            </w:r>
          </w:p>
          <w:p w:rsidR="00B81324" w:rsidRPr="00D209A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Altpeter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F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Baisakh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Beachy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Bock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Capell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T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Christou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P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Daniell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Datta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K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Datta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S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Dix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PJ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Fauquet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C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Huang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Kohli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A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Mooibroek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Nicholson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L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Nguyen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TT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Nugent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G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Raemakers</w:t>
            </w:r>
            <w:proofErr w:type="spellEnd"/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K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Romano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A</w:t>
            </w:r>
            <w:r w:rsidRPr="00D209A4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:rsidR="00B81324" w:rsidRPr="00B8132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  <w:lang w:val="en-US"/>
              </w:rPr>
            </w:pPr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Somers DA,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Stoger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E, Taylor N,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Visser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R (2005): Particle bombardment and the genetic enhancement of</w:t>
            </w:r>
          </w:p>
          <w:p w:rsidR="00B8132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  <w:lang w:val="en-US"/>
              </w:rPr>
            </w:pPr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crops: myths and realities.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Mol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Biol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5:305–327.</w:t>
            </w:r>
          </w:p>
          <w:p w:rsidR="00B81324" w:rsidRDefault="00B81324" w:rsidP="00B81324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B81324">
              <w:rPr>
                <w:bCs/>
                <w:sz w:val="22"/>
                <w:szCs w:val="22"/>
                <w:lang w:val="kk-KZ"/>
              </w:rPr>
              <w:t>Zale JM, Agarwal S, Loar S, Steber CM (2009): Evidence for stable transform</w:t>
            </w:r>
            <w:r>
              <w:rPr>
                <w:bCs/>
                <w:sz w:val="22"/>
                <w:szCs w:val="22"/>
                <w:lang w:val="kk-KZ"/>
              </w:rPr>
              <w:t>ation of wheat by floral dip in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bCs/>
                <w:sz w:val="22"/>
                <w:szCs w:val="22"/>
                <w:lang w:val="kk-KZ"/>
              </w:rPr>
              <w:t>Agrobacterium tumefaciens. Plant Cell Rep 28:903–913.</w:t>
            </w:r>
          </w:p>
          <w:p w:rsidR="009A0BFC" w:rsidRPr="00B81324" w:rsidRDefault="009A0BFC" w:rsidP="00B81324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r w:rsidRPr="00B81324">
              <w:rPr>
                <w:bCs/>
                <w:sz w:val="22"/>
                <w:szCs w:val="22"/>
                <w:lang w:val="kk-KZ"/>
              </w:rPr>
              <w:t>Rothberg J.M., Leamon J.H. The development and impact of 454 sequencing // Nature Biotech. 2008. V. 26. P. 1117–1124.</w:t>
            </w:r>
          </w:p>
          <w:p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Shitsukawa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Tahira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Kassai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K. </w:t>
            </w:r>
            <w:r w:rsidRPr="000E3109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et al. </w:t>
            </w:r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Genetic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andepigenetic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alteration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amongthree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homoeologous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genes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ofa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class E MADS box gene in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hexaploidwheat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//Plant Cell. 2007. </w:t>
            </w:r>
            <w:r w:rsidRPr="000E3109">
              <w:rPr>
                <w:color w:val="000000"/>
                <w:sz w:val="22"/>
                <w:szCs w:val="22"/>
              </w:rPr>
              <w:t>V. 19. P. 1723–1737.</w:t>
            </w:r>
          </w:p>
          <w:p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Mortazavi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BA Williams, K McCue, L Schaeffer, and B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(2008). «Mapping and quantifying mammalian transcriptomes by 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Nature Methods</w:t>
            </w:r>
            <w:r w:rsidRPr="000E3109">
              <w:rPr>
                <w:sz w:val="22"/>
                <w:szCs w:val="22"/>
                <w:lang w:val="en-US"/>
              </w:rPr>
              <w:t xml:space="preserve"> (5): 621-628. </w:t>
            </w:r>
          </w:p>
          <w:p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C,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L,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SL (2009). «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TopHat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: discovering splice junctions with 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Bioinformatics</w:t>
            </w:r>
            <w:r w:rsidRPr="000E3109">
              <w:rPr>
                <w:sz w:val="22"/>
                <w:szCs w:val="22"/>
                <w:lang w:val="en-US"/>
              </w:rPr>
              <w:t xml:space="preserve"> (9): 1105-1111. </w:t>
            </w:r>
          </w:p>
          <w:p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C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BA Williams, G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Pertea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Mortazavi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G Kwan, </w:t>
            </w:r>
            <w:r w:rsidRPr="000E3109">
              <w:rPr>
                <w:sz w:val="22"/>
                <w:szCs w:val="22"/>
                <w:lang w:val="en-US"/>
              </w:rPr>
              <w:lastRenderedPageBreak/>
              <w:t xml:space="preserve">MJ van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Baren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SL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BJ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and 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(2010). «Transcript assembly and quantification by 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reveals unannotated transcripts and isoform switching during cell differentiation». </w:t>
            </w:r>
            <w:r w:rsidRPr="000E3109">
              <w:rPr>
                <w:i/>
                <w:iCs/>
                <w:sz w:val="22"/>
                <w:szCs w:val="22"/>
              </w:rPr>
              <w:t>Nature Biotechnology</w:t>
            </w:r>
            <w:r w:rsidRPr="000E3109">
              <w:rPr>
                <w:sz w:val="22"/>
                <w:szCs w:val="22"/>
              </w:rPr>
              <w:t xml:space="preserve"> (5): 511-</w:t>
            </w:r>
            <w:proofErr w:type="gramStart"/>
            <w:r w:rsidRPr="000E3109">
              <w:rPr>
                <w:sz w:val="22"/>
                <w:szCs w:val="22"/>
              </w:rPr>
              <w:t>515..</w:t>
            </w:r>
            <w:proofErr w:type="gramEnd"/>
          </w:p>
          <w:p w:rsidR="007E6E13" w:rsidRPr="000E3109" w:rsidRDefault="007E6E13" w:rsidP="00E84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F23537" w:rsidRPr="000E3109" w:rsidRDefault="00F23537" w:rsidP="000E3109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9A3B2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F"/>
    <w:rsid w:val="00000ADB"/>
    <w:rsid w:val="000317F4"/>
    <w:rsid w:val="00036FA4"/>
    <w:rsid w:val="0003796D"/>
    <w:rsid w:val="000413E2"/>
    <w:rsid w:val="000A4960"/>
    <w:rsid w:val="000E3109"/>
    <w:rsid w:val="00127A98"/>
    <w:rsid w:val="001308B4"/>
    <w:rsid w:val="00186062"/>
    <w:rsid w:val="001E5CB8"/>
    <w:rsid w:val="002000D9"/>
    <w:rsid w:val="002801FD"/>
    <w:rsid w:val="002B7855"/>
    <w:rsid w:val="002D3ABD"/>
    <w:rsid w:val="002E0408"/>
    <w:rsid w:val="002F77C3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0374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51A5C"/>
    <w:rsid w:val="006A1B9C"/>
    <w:rsid w:val="006C0C16"/>
    <w:rsid w:val="00734792"/>
    <w:rsid w:val="007373AC"/>
    <w:rsid w:val="00774CD2"/>
    <w:rsid w:val="00775F51"/>
    <w:rsid w:val="007A6BB5"/>
    <w:rsid w:val="007E6E13"/>
    <w:rsid w:val="007F5759"/>
    <w:rsid w:val="008044ED"/>
    <w:rsid w:val="00857740"/>
    <w:rsid w:val="00865167"/>
    <w:rsid w:val="00877984"/>
    <w:rsid w:val="00885CF8"/>
    <w:rsid w:val="00891AE4"/>
    <w:rsid w:val="008A51D0"/>
    <w:rsid w:val="00936AD9"/>
    <w:rsid w:val="00982CC9"/>
    <w:rsid w:val="009A0BFC"/>
    <w:rsid w:val="009A3B2B"/>
    <w:rsid w:val="009A5FF9"/>
    <w:rsid w:val="009F3061"/>
    <w:rsid w:val="00A22BDE"/>
    <w:rsid w:val="00A47571"/>
    <w:rsid w:val="00B03CA4"/>
    <w:rsid w:val="00B727AA"/>
    <w:rsid w:val="00B81324"/>
    <w:rsid w:val="00BB0497"/>
    <w:rsid w:val="00BD5477"/>
    <w:rsid w:val="00BE6617"/>
    <w:rsid w:val="00C04048"/>
    <w:rsid w:val="00C327B6"/>
    <w:rsid w:val="00C774BE"/>
    <w:rsid w:val="00CD1C9E"/>
    <w:rsid w:val="00CF6703"/>
    <w:rsid w:val="00D209A4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84777"/>
    <w:rsid w:val="00EC33C2"/>
    <w:rsid w:val="00ED4F56"/>
    <w:rsid w:val="00F23537"/>
    <w:rsid w:val="00F2495F"/>
    <w:rsid w:val="00F52FFC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FCA6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КСС</cp:lastModifiedBy>
  <cp:revision>4</cp:revision>
  <cp:lastPrinted>2012-10-15T05:56:00Z</cp:lastPrinted>
  <dcterms:created xsi:type="dcterms:W3CDTF">2020-03-18T08:11:00Z</dcterms:created>
  <dcterms:modified xsi:type="dcterms:W3CDTF">2020-03-18T08:35:00Z</dcterms:modified>
</cp:coreProperties>
</file>